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03B6" w14:textId="77777777" w:rsidR="00181F2A" w:rsidRPr="005E7D94" w:rsidRDefault="009F416C" w:rsidP="009F416C">
      <w:pPr>
        <w:spacing w:line="360" w:lineRule="auto"/>
        <w:jc w:val="center"/>
        <w:rPr>
          <w:rFonts w:ascii="Verdana Pro" w:hAnsi="Verdana Pro" w:cs="Times New Roman"/>
          <w:b/>
          <w:sz w:val="24"/>
          <w:szCs w:val="20"/>
          <w:u w:val="single"/>
          <w:lang w:val="es-MX"/>
        </w:rPr>
      </w:pPr>
      <w:r w:rsidRPr="005E7D94">
        <w:rPr>
          <w:rFonts w:ascii="Verdana Pro" w:hAnsi="Verdana Pro" w:cs="Times New Roman"/>
          <w:b/>
          <w:sz w:val="24"/>
          <w:szCs w:val="20"/>
          <w:u w:val="single"/>
          <w:lang w:val="es-MX"/>
        </w:rPr>
        <w:t>No conformidad N°2</w:t>
      </w:r>
    </w:p>
    <w:p w14:paraId="64152040" w14:textId="77777777" w:rsidR="009F416C" w:rsidRPr="005E7D94" w:rsidRDefault="009F416C" w:rsidP="002661BE">
      <w:pPr>
        <w:spacing w:after="120" w:line="276" w:lineRule="auto"/>
        <w:jc w:val="both"/>
        <w:rPr>
          <w:rFonts w:ascii="Verdana Pro" w:hAnsi="Verdana Pro" w:cs="Times New Roman"/>
          <w:i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b/>
          <w:sz w:val="20"/>
          <w:szCs w:val="20"/>
          <w:lang w:val="es-MX"/>
        </w:rPr>
        <w:t>No conformidad encontrada:</w:t>
      </w:r>
      <w:r w:rsidRPr="005E7D94">
        <w:rPr>
          <w:rFonts w:ascii="Verdana Pro" w:hAnsi="Verdana Pro" w:cs="Times New Roman"/>
          <w:sz w:val="20"/>
          <w:szCs w:val="20"/>
          <w:lang w:val="es-MX"/>
        </w:rPr>
        <w:t xml:space="preserve"> “El porcentaje de captura y fijación promedio acumulado para la emisión de SO2 está bajo lo indicado en el DS 28. El resultado acumulado fue 94,22%”.</w:t>
      </w:r>
    </w:p>
    <w:p w14:paraId="19832DDD" w14:textId="77777777" w:rsidR="000C2E11" w:rsidRPr="005E7D94" w:rsidRDefault="009F416C" w:rsidP="002661BE">
      <w:p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Ante el hallazgo encontrado se tomaron las accio</w:t>
      </w:r>
      <w:r w:rsidR="002661BE" w:rsidRPr="005E7D94">
        <w:rPr>
          <w:rFonts w:ascii="Verdana Pro" w:hAnsi="Verdana Pro" w:cs="Times New Roman"/>
          <w:sz w:val="20"/>
          <w:szCs w:val="20"/>
          <w:lang w:val="es-MX"/>
        </w:rPr>
        <w:t>nes respectivas, donde</w:t>
      </w:r>
      <w:r w:rsidRPr="005E7D94">
        <w:rPr>
          <w:rFonts w:ascii="Verdana Pro" w:hAnsi="Verdana Pro" w:cs="Times New Roman"/>
          <w:sz w:val="20"/>
          <w:szCs w:val="20"/>
          <w:lang w:val="es-MX"/>
        </w:rPr>
        <w:t xml:space="preserve"> lo primero que se realizó para saber qué disposición tomar fue el análisis de la no conformidad, lo cual dio como resultado que el cálculo de la emisión, fue debido a un error registrado</w:t>
      </w:r>
      <w:r w:rsidR="000C2E11" w:rsidRPr="005E7D94">
        <w:rPr>
          <w:rFonts w:ascii="Verdana Pro" w:hAnsi="Verdana Pro" w:cs="Times New Roman"/>
          <w:sz w:val="20"/>
          <w:szCs w:val="20"/>
          <w:lang w:val="es-MX"/>
        </w:rPr>
        <w:t xml:space="preserve"> en el factor gravimétrico en el mes de mayo. Otro de</w:t>
      </w:r>
      <w:r w:rsidR="002661BE" w:rsidRPr="005E7D94">
        <w:rPr>
          <w:rFonts w:ascii="Verdana Pro" w:hAnsi="Verdana Pro" w:cs="Times New Roman"/>
          <w:sz w:val="20"/>
          <w:szCs w:val="20"/>
          <w:lang w:val="es-MX"/>
        </w:rPr>
        <w:t xml:space="preserve"> los errores que afectaron</w:t>
      </w:r>
      <w:r w:rsidR="000C2E11" w:rsidRPr="005E7D94">
        <w:rPr>
          <w:rFonts w:ascii="Verdana Pro" w:hAnsi="Verdana Pro" w:cs="Times New Roman"/>
          <w:sz w:val="20"/>
          <w:szCs w:val="20"/>
          <w:lang w:val="es-MX"/>
        </w:rPr>
        <w:t>, fue una medición equívoca de los estanques de ácido producto durante el año 2023</w:t>
      </w:r>
      <w:r w:rsidR="002661BE" w:rsidRPr="005E7D94">
        <w:rPr>
          <w:rFonts w:ascii="Verdana Pro" w:hAnsi="Verdana Pro" w:cs="Times New Roman"/>
          <w:sz w:val="20"/>
          <w:szCs w:val="20"/>
          <w:lang w:val="es-MX"/>
        </w:rPr>
        <w:t>,</w:t>
      </w:r>
      <w:r w:rsidR="000C2E11" w:rsidRPr="005E7D94">
        <w:rPr>
          <w:rFonts w:ascii="Verdana Pro" w:hAnsi="Verdana Pro" w:cs="Times New Roman"/>
          <w:sz w:val="20"/>
          <w:szCs w:val="20"/>
          <w:lang w:val="es-MX"/>
        </w:rPr>
        <w:t xml:space="preserve"> tanto por error instrumental como por error en el ingreso de datos.</w:t>
      </w:r>
    </w:p>
    <w:p w14:paraId="58833F5D" w14:textId="2C4FE416" w:rsidR="000C2E11" w:rsidRPr="005E7D94" w:rsidRDefault="002661BE" w:rsidP="002661BE">
      <w:p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Ante aquellos errores</w:t>
      </w:r>
      <w:r w:rsidR="000C2E11" w:rsidRPr="005E7D94">
        <w:rPr>
          <w:rFonts w:ascii="Verdana Pro" w:hAnsi="Verdana Pro" w:cs="Times New Roman"/>
          <w:sz w:val="20"/>
          <w:szCs w:val="20"/>
          <w:lang w:val="es-MX"/>
        </w:rPr>
        <w:t xml:space="preserve">, es que se recalculó la emisión y captura para el año 2023, </w:t>
      </w:r>
      <w:r w:rsidRPr="005E7D94">
        <w:rPr>
          <w:rFonts w:ascii="Verdana Pro" w:hAnsi="Verdana Pro" w:cs="Times New Roman"/>
          <w:sz w:val="20"/>
          <w:szCs w:val="20"/>
          <w:lang w:val="es-MX"/>
        </w:rPr>
        <w:t>debido a que estos</w:t>
      </w:r>
      <w:r w:rsidR="000C2E11" w:rsidRPr="005E7D94">
        <w:rPr>
          <w:rFonts w:ascii="Verdana Pro" w:hAnsi="Verdana Pro" w:cs="Times New Roman"/>
          <w:sz w:val="20"/>
          <w:szCs w:val="20"/>
          <w:lang w:val="es-MX"/>
        </w:rPr>
        <w:t xml:space="preserve"> conllevan desvíos en los resultados concernientes a la captura de SO</w:t>
      </w:r>
      <w:r w:rsidR="000C2E11" w:rsidRPr="005E7D94">
        <w:rPr>
          <w:rFonts w:ascii="Verdana Pro" w:hAnsi="Verdana Pro" w:cs="Times New Roman"/>
          <w:sz w:val="20"/>
          <w:szCs w:val="20"/>
          <w:vertAlign w:val="subscript"/>
          <w:lang w:val="es-MX"/>
        </w:rPr>
        <w:t>2</w:t>
      </w:r>
      <w:r w:rsidR="00563155" w:rsidRPr="005E7D94">
        <w:rPr>
          <w:rFonts w:ascii="Verdana Pro" w:hAnsi="Verdana Pro" w:cs="Times New Roman"/>
          <w:sz w:val="20"/>
          <w:szCs w:val="20"/>
          <w:lang w:val="es-MX"/>
        </w:rPr>
        <w:t>, pero al recalcularse, el valor del porcentaje de captura y fijación acumulado se encuentra dentro de los límites establecidos en el DS28.</w:t>
      </w:r>
    </w:p>
    <w:p w14:paraId="3E22C8F3" w14:textId="77777777" w:rsidR="00563155" w:rsidRPr="005E7D94" w:rsidRDefault="00563155" w:rsidP="002661BE">
      <w:p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Para poder corregir estas eventualidades, en cuanto a los errores de medición de los estanques se hizo lo siguiente:</w:t>
      </w:r>
    </w:p>
    <w:p w14:paraId="5783D6E9" w14:textId="77777777" w:rsidR="00563155" w:rsidRPr="005E7D94" w:rsidRDefault="00563155" w:rsidP="002661BE">
      <w:pPr>
        <w:pStyle w:val="Prrafodelista"/>
        <w:numPr>
          <w:ilvl w:val="0"/>
          <w:numId w:val="1"/>
        </w:num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Revisar el estado de los materiales e instrumentos utilizados al momento de realizar la medición de estos.</w:t>
      </w:r>
    </w:p>
    <w:p w14:paraId="77D8912B" w14:textId="77777777" w:rsidR="00563155" w:rsidRPr="005E7D94" w:rsidRDefault="00563155" w:rsidP="002661BE">
      <w:pPr>
        <w:pStyle w:val="Prrafodelista"/>
        <w:numPr>
          <w:ilvl w:val="0"/>
          <w:numId w:val="1"/>
        </w:num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Verificar qué métodos de cálculos se están usando y cómo se están realizando las aproximaciones en los niveles correspondientes</w:t>
      </w:r>
      <w:r w:rsidR="00255066" w:rsidRPr="005E7D94">
        <w:rPr>
          <w:rFonts w:ascii="Verdana Pro" w:hAnsi="Verdana Pro" w:cs="Times New Roman"/>
          <w:sz w:val="20"/>
          <w:szCs w:val="20"/>
          <w:lang w:val="es-MX"/>
        </w:rPr>
        <w:t>, con el fin de detectar errores en la medición y corregirlos</w:t>
      </w:r>
      <w:r w:rsidRPr="005E7D94">
        <w:rPr>
          <w:rFonts w:ascii="Verdana Pro" w:hAnsi="Verdana Pro" w:cs="Times New Roman"/>
          <w:sz w:val="20"/>
          <w:szCs w:val="20"/>
          <w:lang w:val="es-MX"/>
        </w:rPr>
        <w:t>.</w:t>
      </w:r>
    </w:p>
    <w:p w14:paraId="7FC026D0" w14:textId="77777777" w:rsidR="00181F2A" w:rsidRPr="005E7D94" w:rsidRDefault="00563155" w:rsidP="002661BE">
      <w:pPr>
        <w:pStyle w:val="Prrafodelista"/>
        <w:numPr>
          <w:ilvl w:val="0"/>
          <w:numId w:val="1"/>
        </w:num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Verificar que, con las acciones anteriores, se realice la correcta medic</w:t>
      </w:r>
      <w:r w:rsidR="00255066" w:rsidRPr="005E7D94">
        <w:rPr>
          <w:rFonts w:ascii="Verdana Pro" w:hAnsi="Verdana Pro" w:cs="Times New Roman"/>
          <w:sz w:val="20"/>
          <w:szCs w:val="20"/>
          <w:lang w:val="es-MX"/>
        </w:rPr>
        <w:t>ión en los niveles de estanques.</w:t>
      </w:r>
    </w:p>
    <w:p w14:paraId="7B959EF3" w14:textId="111F7B0C" w:rsidR="00255066" w:rsidRPr="005E7D94" w:rsidRDefault="00255066" w:rsidP="00181F2A">
      <w:p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En cuanto al error registrado en el factor gravimétrico, se realizará lo siguiente:</w:t>
      </w:r>
    </w:p>
    <w:p w14:paraId="35FFCF82" w14:textId="77777777" w:rsidR="00255066" w:rsidRPr="005E7D94" w:rsidRDefault="00255066" w:rsidP="002661BE">
      <w:pPr>
        <w:pStyle w:val="Prrafodelista"/>
        <w:numPr>
          <w:ilvl w:val="0"/>
          <w:numId w:val="2"/>
        </w:num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 w:rsidRPr="005E7D94">
        <w:rPr>
          <w:rFonts w:ascii="Verdana Pro" w:hAnsi="Verdana Pro" w:cs="Times New Roman"/>
          <w:sz w:val="20"/>
          <w:szCs w:val="20"/>
          <w:lang w:val="es-MX"/>
        </w:rPr>
        <w:t>Revisar las planillas de cálculo, donde se agregarán validadores de datos en este factor para prevenir dicho suceso y los futuros que se puedan dar, así se obtendrán cálculos más seguros a través de la protección de celdas.</w:t>
      </w:r>
    </w:p>
    <w:p w14:paraId="31C87230" w14:textId="3EAEA1FD" w:rsidR="00255066" w:rsidRPr="005E7D94" w:rsidRDefault="005E7D94" w:rsidP="002661BE">
      <w:pPr>
        <w:spacing w:after="120" w:line="276" w:lineRule="auto"/>
        <w:jc w:val="both"/>
        <w:rPr>
          <w:rFonts w:ascii="Verdana Pro" w:hAnsi="Verdana Pro" w:cs="Times New Roman"/>
          <w:sz w:val="20"/>
          <w:szCs w:val="20"/>
          <w:lang w:val="es-MX"/>
        </w:rPr>
      </w:pPr>
      <w:r>
        <w:rPr>
          <w:rFonts w:ascii="Arial" w:hAnsi="Arial" w:cs="Arial"/>
          <w:noProof/>
          <w:lang w:eastAsia="es-CL"/>
        </w:rPr>
        <w:drawing>
          <wp:anchor distT="0" distB="0" distL="114300" distR="114300" simplePos="0" relativeHeight="251658240" behindDoc="0" locked="0" layoutInCell="1" allowOverlap="1" wp14:anchorId="0A1A2727" wp14:editId="4C893C7A">
            <wp:simplePos x="0" y="0"/>
            <wp:positionH relativeFrom="margin">
              <wp:align>left</wp:align>
            </wp:positionH>
            <wp:positionV relativeFrom="paragraph">
              <wp:posOffset>179705</wp:posOffset>
            </wp:positionV>
            <wp:extent cx="5792077" cy="2964180"/>
            <wp:effectExtent l="0" t="0" r="0" b="762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áfico Diagrama de Ishikawa Espina de Pescado Corporativo y Sencillo Azul Verde y Negro (1)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9" t="17879" r="6822" b="23054"/>
                    <a:stretch/>
                  </pic:blipFill>
                  <pic:spPr bwMode="auto">
                    <a:xfrm>
                      <a:off x="0" y="0"/>
                      <a:ext cx="5792077" cy="2964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61BE" w:rsidRPr="005E7D94">
        <w:rPr>
          <w:rFonts w:ascii="Verdana Pro" w:hAnsi="Verdana Pro" w:cs="Times New Roman"/>
          <w:sz w:val="20"/>
          <w:szCs w:val="20"/>
          <w:lang w:val="es-MX"/>
        </w:rPr>
        <w:t>A continuación, se puede observar el análisis a través del Diagrama de Ishikawa.</w:t>
      </w:r>
    </w:p>
    <w:p w14:paraId="71D16B9C" w14:textId="23884AE9" w:rsidR="009F416C" w:rsidRPr="009F416C" w:rsidRDefault="009F416C" w:rsidP="002661BE">
      <w:pPr>
        <w:spacing w:line="276" w:lineRule="auto"/>
        <w:jc w:val="center"/>
        <w:rPr>
          <w:rFonts w:ascii="Arial" w:hAnsi="Arial" w:cs="Arial"/>
          <w:lang w:val="es-MX"/>
        </w:rPr>
      </w:pPr>
    </w:p>
    <w:sectPr w:rsidR="009F416C" w:rsidRPr="009F41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0777B1"/>
    <w:multiLevelType w:val="hybridMultilevel"/>
    <w:tmpl w:val="02BA00A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7B248CB"/>
    <w:multiLevelType w:val="hybridMultilevel"/>
    <w:tmpl w:val="BC40797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2475911">
    <w:abstractNumId w:val="1"/>
  </w:num>
  <w:num w:numId="2" w16cid:durableId="2118673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16C"/>
    <w:rsid w:val="000C2E11"/>
    <w:rsid w:val="00135B81"/>
    <w:rsid w:val="00181F2A"/>
    <w:rsid w:val="00255066"/>
    <w:rsid w:val="002661BE"/>
    <w:rsid w:val="003C5725"/>
    <w:rsid w:val="00563155"/>
    <w:rsid w:val="005E7D94"/>
    <w:rsid w:val="009F416C"/>
    <w:rsid w:val="00AC6E6C"/>
    <w:rsid w:val="00F86B5F"/>
    <w:rsid w:val="00FC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C4502"/>
  <w15:chartTrackingRefBased/>
  <w15:docId w15:val="{45FD60BB-1312-4F43-B6C2-41491DDA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3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Practicante Peralta T. Valentina</dc:creator>
  <cp:keywords/>
  <dc:description/>
  <cp:lastModifiedBy>Aguilera C. Miguel</cp:lastModifiedBy>
  <cp:revision>3</cp:revision>
  <dcterms:created xsi:type="dcterms:W3CDTF">2024-02-21T19:38:00Z</dcterms:created>
  <dcterms:modified xsi:type="dcterms:W3CDTF">2024-02-22T10:56:00Z</dcterms:modified>
</cp:coreProperties>
</file>